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920" w:type="dxa"/>
        <w:tblInd w:w="10" w:type="dxa"/>
        <w:tblLayout w:type="fixed"/>
        <w:tblCellMar>
          <w:left w:w="10" w:type="dxa"/>
          <w:right w:w="10" w:type="dxa"/>
        </w:tblCellMar>
        <w:tblLook w:val="0000" w:firstRow="0" w:lastRow="0" w:firstColumn="0" w:lastColumn="0" w:noHBand="0" w:noVBand="0"/>
      </w:tblPr>
      <w:tblGrid>
        <w:gridCol w:w="1200"/>
        <w:gridCol w:w="1400"/>
        <w:gridCol w:w="944"/>
        <w:gridCol w:w="4196"/>
        <w:gridCol w:w="900"/>
        <w:gridCol w:w="2040"/>
        <w:gridCol w:w="460"/>
        <w:gridCol w:w="340"/>
        <w:gridCol w:w="40"/>
        <w:gridCol w:w="400"/>
      </w:tblGrid>
      <w:tr w:rsidR="00874C56" w:rsidRPr="006F4315" w:rsidTr="007E663C">
        <w:trPr>
          <w:trHeight w:hRule="exact" w:val="400"/>
        </w:trPr>
        <w:tc>
          <w:tcPr>
            <w:tcW w:w="1200" w:type="dxa"/>
          </w:tcPr>
          <w:p w:rsidR="00874C56" w:rsidRPr="006F4315" w:rsidRDefault="00874C56" w:rsidP="00277621">
            <w:pPr>
              <w:pStyle w:val="EMPTYCELLSTYLE"/>
              <w:rPr>
                <w:sz w:val="24"/>
                <w:szCs w:val="24"/>
              </w:rPr>
            </w:pPr>
          </w:p>
        </w:tc>
        <w:tc>
          <w:tcPr>
            <w:tcW w:w="1400" w:type="dxa"/>
          </w:tcPr>
          <w:p w:rsidR="00874C56" w:rsidRPr="006F4315" w:rsidRDefault="00874C56" w:rsidP="00277621">
            <w:pPr>
              <w:pStyle w:val="EMPTYCELLSTYLE"/>
              <w:rPr>
                <w:sz w:val="24"/>
                <w:szCs w:val="24"/>
              </w:rPr>
            </w:pPr>
          </w:p>
        </w:tc>
        <w:tc>
          <w:tcPr>
            <w:tcW w:w="944" w:type="dxa"/>
          </w:tcPr>
          <w:p w:rsidR="00874C56" w:rsidRPr="006F4315" w:rsidRDefault="00874C56" w:rsidP="00277621">
            <w:pPr>
              <w:pStyle w:val="EMPTYCELLSTYLE"/>
              <w:rPr>
                <w:sz w:val="24"/>
                <w:szCs w:val="24"/>
              </w:rPr>
            </w:pPr>
          </w:p>
        </w:tc>
        <w:tc>
          <w:tcPr>
            <w:tcW w:w="4196" w:type="dxa"/>
          </w:tcPr>
          <w:p w:rsidR="00874C56" w:rsidRPr="006F4315" w:rsidRDefault="00874C56" w:rsidP="00277621">
            <w:pPr>
              <w:pStyle w:val="EMPTYCELLSTYLE"/>
              <w:rPr>
                <w:sz w:val="24"/>
                <w:szCs w:val="24"/>
              </w:rPr>
            </w:pPr>
          </w:p>
        </w:tc>
        <w:tc>
          <w:tcPr>
            <w:tcW w:w="900" w:type="dxa"/>
          </w:tcPr>
          <w:p w:rsidR="00874C56" w:rsidRPr="006F4315" w:rsidRDefault="00874C56" w:rsidP="00277621">
            <w:pPr>
              <w:pStyle w:val="EMPTYCELLSTYLE"/>
              <w:rPr>
                <w:sz w:val="24"/>
                <w:szCs w:val="24"/>
              </w:rPr>
            </w:pPr>
          </w:p>
        </w:tc>
        <w:tc>
          <w:tcPr>
            <w:tcW w:w="2040" w:type="dxa"/>
          </w:tcPr>
          <w:p w:rsidR="00874C56" w:rsidRPr="006F4315" w:rsidRDefault="00874C56" w:rsidP="00277621">
            <w:pPr>
              <w:pStyle w:val="EMPTYCELLSTYLE"/>
              <w:rPr>
                <w:sz w:val="24"/>
                <w:szCs w:val="24"/>
              </w:rPr>
            </w:pPr>
          </w:p>
        </w:tc>
        <w:tc>
          <w:tcPr>
            <w:tcW w:w="460" w:type="dxa"/>
          </w:tcPr>
          <w:p w:rsidR="00874C56" w:rsidRPr="006F4315" w:rsidRDefault="00874C56" w:rsidP="00277621">
            <w:pPr>
              <w:pStyle w:val="EMPTYCELLSTYLE"/>
              <w:rPr>
                <w:sz w:val="24"/>
                <w:szCs w:val="24"/>
              </w:rPr>
            </w:pPr>
          </w:p>
        </w:tc>
        <w:tc>
          <w:tcPr>
            <w:tcW w:w="340" w:type="dxa"/>
          </w:tcPr>
          <w:p w:rsidR="00874C56" w:rsidRPr="006F4315" w:rsidRDefault="00874C56" w:rsidP="00277621">
            <w:pPr>
              <w:pStyle w:val="EMPTYCELLSTYLE"/>
              <w:rPr>
                <w:sz w:val="24"/>
                <w:szCs w:val="24"/>
              </w:rPr>
            </w:pPr>
          </w:p>
        </w:tc>
        <w:tc>
          <w:tcPr>
            <w:tcW w:w="40" w:type="dxa"/>
          </w:tcPr>
          <w:p w:rsidR="00874C56" w:rsidRPr="006F4315" w:rsidRDefault="00874C56" w:rsidP="00277621">
            <w:pPr>
              <w:pStyle w:val="EMPTYCELLSTYLE"/>
              <w:rPr>
                <w:sz w:val="24"/>
                <w:szCs w:val="24"/>
              </w:rPr>
            </w:pPr>
          </w:p>
        </w:tc>
        <w:tc>
          <w:tcPr>
            <w:tcW w:w="400" w:type="dxa"/>
          </w:tcPr>
          <w:p w:rsidR="00874C56" w:rsidRPr="006F4315" w:rsidRDefault="00874C56" w:rsidP="00277621">
            <w:pPr>
              <w:pStyle w:val="EMPTYCELLSTYLE"/>
              <w:rPr>
                <w:sz w:val="24"/>
                <w:szCs w:val="24"/>
              </w:rPr>
            </w:pPr>
          </w:p>
        </w:tc>
      </w:tr>
      <w:tr w:rsidR="00874C56" w:rsidRPr="006F4315" w:rsidTr="007E663C">
        <w:trPr>
          <w:trHeight w:hRule="exact" w:val="280"/>
        </w:trPr>
        <w:tc>
          <w:tcPr>
            <w:tcW w:w="1200" w:type="dxa"/>
          </w:tcPr>
          <w:p w:rsidR="00874C56" w:rsidRPr="006F4315" w:rsidRDefault="00874C56" w:rsidP="00277621">
            <w:pPr>
              <w:pStyle w:val="EMPTYCELLSTYLE"/>
              <w:rPr>
                <w:sz w:val="24"/>
                <w:szCs w:val="24"/>
              </w:rPr>
            </w:pPr>
          </w:p>
        </w:tc>
        <w:tc>
          <w:tcPr>
            <w:tcW w:w="1400" w:type="dxa"/>
          </w:tcPr>
          <w:p w:rsidR="00874C56" w:rsidRPr="006F4315" w:rsidRDefault="00874C56" w:rsidP="00277621">
            <w:pPr>
              <w:pStyle w:val="EMPTYCELLSTYLE"/>
              <w:rPr>
                <w:sz w:val="24"/>
                <w:szCs w:val="24"/>
              </w:rPr>
            </w:pPr>
          </w:p>
        </w:tc>
        <w:tc>
          <w:tcPr>
            <w:tcW w:w="944" w:type="dxa"/>
          </w:tcPr>
          <w:p w:rsidR="00874C56" w:rsidRPr="006F4315" w:rsidRDefault="00874C56" w:rsidP="00277621">
            <w:pPr>
              <w:pStyle w:val="EMPTYCELLSTYLE"/>
              <w:rPr>
                <w:sz w:val="24"/>
                <w:szCs w:val="24"/>
              </w:rPr>
            </w:pPr>
          </w:p>
        </w:tc>
        <w:tc>
          <w:tcPr>
            <w:tcW w:w="7976" w:type="dxa"/>
            <w:gridSpan w:val="6"/>
            <w:vMerge w:val="restart"/>
            <w:tcMar>
              <w:top w:w="0" w:type="dxa"/>
              <w:left w:w="0" w:type="dxa"/>
              <w:bottom w:w="0" w:type="dxa"/>
              <w:right w:w="0" w:type="dxa"/>
            </w:tcMar>
            <w:vAlign w:val="center"/>
          </w:tcPr>
          <w:p w:rsidR="00874C56" w:rsidRPr="006F4315" w:rsidRDefault="0085181B" w:rsidP="00277621">
            <w:pPr>
              <w:pStyle w:val="defaultStyle"/>
              <w:rPr>
                <w:szCs w:val="24"/>
              </w:rPr>
            </w:pPr>
            <w:r w:rsidRPr="006F4315">
              <w:rPr>
                <w:b/>
                <w:szCs w:val="24"/>
              </w:rPr>
              <w:t>T.C.</w:t>
            </w:r>
            <w:r w:rsidRPr="006F4315">
              <w:rPr>
                <w:b/>
                <w:szCs w:val="24"/>
              </w:rPr>
              <w:br/>
              <w:t>YARGITAY</w:t>
            </w:r>
            <w:r w:rsidRPr="006F4315">
              <w:rPr>
                <w:b/>
                <w:szCs w:val="24"/>
              </w:rPr>
              <w:br/>
            </w:r>
            <w:r w:rsidRPr="006F4315">
              <w:rPr>
                <w:b/>
                <w:szCs w:val="24"/>
              </w:rPr>
              <w:br/>
              <w:t>3. Hukuk Dairesi</w:t>
            </w:r>
            <w:r w:rsidRPr="006F4315">
              <w:rPr>
                <w:b/>
                <w:szCs w:val="24"/>
              </w:rPr>
              <w:br/>
            </w:r>
            <w:r w:rsidRPr="006F4315">
              <w:rPr>
                <w:b/>
                <w:szCs w:val="24"/>
              </w:rPr>
              <w:br/>
              <w:t>Esas No: 2020/7165</w:t>
            </w:r>
            <w:r w:rsidRPr="006F4315">
              <w:rPr>
                <w:b/>
                <w:szCs w:val="24"/>
              </w:rPr>
              <w:br/>
            </w:r>
            <w:r w:rsidRPr="006F4315">
              <w:rPr>
                <w:b/>
                <w:szCs w:val="24"/>
              </w:rPr>
              <w:br/>
              <w:t>Karar No: 2020/5239</w:t>
            </w:r>
            <w:r w:rsidRPr="006F4315">
              <w:rPr>
                <w:b/>
                <w:szCs w:val="24"/>
              </w:rPr>
              <w:br/>
            </w:r>
            <w:r w:rsidRPr="006F4315">
              <w:rPr>
                <w:b/>
                <w:szCs w:val="24"/>
              </w:rPr>
              <w:br/>
              <w:t>Karar Tarihi: 01-10-2020</w:t>
            </w:r>
            <w:r w:rsidRPr="006F4315">
              <w:rPr>
                <w:b/>
                <w:szCs w:val="24"/>
              </w:rPr>
              <w:br/>
            </w:r>
            <w:r w:rsidRPr="006F4315">
              <w:rPr>
                <w:b/>
                <w:szCs w:val="24"/>
              </w:rPr>
              <w:br/>
              <w:t>İTİRAZIN İPTALİ İSTEMİ - GÖREVSİZLİK KARARI VERİLMESİ GEREKİRKEN TAHKİM İLK İTİRAZI ÜZERİNE DAVANIN USULDEN REDDİNE KARAR VERİLMİŞ OLMASININ USUL VE YASAYA AYKIRI OLDUĞU - HÜKMÜN KANUN YARARINA BOZULMASI</w:t>
            </w:r>
          </w:p>
        </w:tc>
        <w:tc>
          <w:tcPr>
            <w:tcW w:w="400" w:type="dxa"/>
          </w:tcPr>
          <w:p w:rsidR="00874C56" w:rsidRPr="006F4315" w:rsidRDefault="00874C56" w:rsidP="00277621">
            <w:pPr>
              <w:pStyle w:val="EMPTYCELLSTYLE"/>
              <w:rPr>
                <w:sz w:val="24"/>
                <w:szCs w:val="24"/>
              </w:rPr>
            </w:pPr>
          </w:p>
        </w:tc>
      </w:tr>
      <w:tr w:rsidR="00874C56" w:rsidRPr="006F4315" w:rsidTr="007E663C">
        <w:trPr>
          <w:trHeight w:hRule="exact" w:val="1400"/>
        </w:trPr>
        <w:tc>
          <w:tcPr>
            <w:tcW w:w="1200" w:type="dxa"/>
          </w:tcPr>
          <w:p w:rsidR="00874C56" w:rsidRPr="006F4315" w:rsidRDefault="00874C56" w:rsidP="00277621">
            <w:pPr>
              <w:pStyle w:val="EMPTYCELLSTYLE"/>
              <w:rPr>
                <w:sz w:val="24"/>
                <w:szCs w:val="24"/>
              </w:rPr>
            </w:pPr>
          </w:p>
        </w:tc>
        <w:tc>
          <w:tcPr>
            <w:tcW w:w="1400" w:type="dxa"/>
            <w:shd w:val="clear" w:color="auto" w:fill="FFFFFF"/>
            <w:tcMar>
              <w:top w:w="0" w:type="dxa"/>
              <w:left w:w="0" w:type="dxa"/>
              <w:bottom w:w="0" w:type="dxa"/>
              <w:right w:w="0" w:type="dxa"/>
            </w:tcMar>
            <w:vAlign w:val="center"/>
          </w:tcPr>
          <w:p w:rsidR="00874C56" w:rsidRPr="006F4315" w:rsidRDefault="0085181B" w:rsidP="00277621">
            <w:pPr>
              <w:pStyle w:val="defaultStyle"/>
              <w:rPr>
                <w:szCs w:val="24"/>
              </w:rPr>
            </w:pPr>
            <w:r w:rsidRPr="006F4315">
              <w:rPr>
                <w:noProof/>
                <w:szCs w:val="24"/>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889000" cy="889000"/>
                  <wp:effectExtent l="0" t="0" r="0" b="0"/>
                  <wp:wrapNone/>
                  <wp:docPr id="590451029" name="Picture"/>
                  <wp:cNvGraphicFramePr/>
                  <a:graphic xmlns:a="http://schemas.openxmlformats.org/drawingml/2006/main">
                    <a:graphicData uri="http://schemas.openxmlformats.org/drawingml/2006/picture">
                      <pic:pic xmlns:pic="http://schemas.openxmlformats.org/drawingml/2006/picture">
                        <pic:nvPicPr>
                          <pic:cNvPr id="590451029" name="Picture"/>
                          <pic:cNvPicPr/>
                        </pic:nvPicPr>
                        <pic:blipFill>
                          <a:blip r:embed="rId5"/>
                          <a:srcRect/>
                          <a:stretch>
                            <a:fillRect/>
                          </a:stretch>
                        </pic:blipFill>
                        <pic:spPr>
                          <a:xfrm>
                            <a:off x="0" y="0"/>
                            <a:ext cx="889000" cy="889000"/>
                          </a:xfrm>
                          <a:prstGeom prst="rect">
                            <a:avLst/>
                          </a:prstGeom>
                        </pic:spPr>
                      </pic:pic>
                    </a:graphicData>
                  </a:graphic>
                </wp:anchor>
              </w:drawing>
            </w:r>
          </w:p>
        </w:tc>
        <w:tc>
          <w:tcPr>
            <w:tcW w:w="944" w:type="dxa"/>
          </w:tcPr>
          <w:p w:rsidR="00874C56" w:rsidRPr="006F4315" w:rsidRDefault="00874C56" w:rsidP="00277621">
            <w:pPr>
              <w:pStyle w:val="EMPTYCELLSTYLE"/>
              <w:rPr>
                <w:sz w:val="24"/>
                <w:szCs w:val="24"/>
              </w:rPr>
            </w:pPr>
          </w:p>
        </w:tc>
        <w:tc>
          <w:tcPr>
            <w:tcW w:w="7976" w:type="dxa"/>
            <w:gridSpan w:val="6"/>
            <w:vMerge/>
            <w:tcMar>
              <w:top w:w="0" w:type="dxa"/>
              <w:left w:w="0" w:type="dxa"/>
              <w:bottom w:w="0" w:type="dxa"/>
              <w:right w:w="0" w:type="dxa"/>
            </w:tcMar>
            <w:vAlign w:val="center"/>
          </w:tcPr>
          <w:p w:rsidR="00874C56" w:rsidRPr="006F4315" w:rsidRDefault="00874C56" w:rsidP="00277621">
            <w:pPr>
              <w:pStyle w:val="EMPTYCELLSTYLE"/>
              <w:rPr>
                <w:sz w:val="24"/>
                <w:szCs w:val="24"/>
              </w:rPr>
            </w:pPr>
          </w:p>
        </w:tc>
        <w:tc>
          <w:tcPr>
            <w:tcW w:w="400" w:type="dxa"/>
          </w:tcPr>
          <w:p w:rsidR="00874C56" w:rsidRPr="006F4315" w:rsidRDefault="00874C56" w:rsidP="00277621">
            <w:pPr>
              <w:pStyle w:val="EMPTYCELLSTYLE"/>
              <w:rPr>
                <w:sz w:val="24"/>
                <w:szCs w:val="24"/>
              </w:rPr>
            </w:pPr>
          </w:p>
        </w:tc>
      </w:tr>
      <w:tr w:rsidR="00874C56" w:rsidRPr="006F4315" w:rsidTr="007E663C">
        <w:trPr>
          <w:trHeight w:hRule="exact" w:val="2440"/>
        </w:trPr>
        <w:tc>
          <w:tcPr>
            <w:tcW w:w="1200" w:type="dxa"/>
          </w:tcPr>
          <w:p w:rsidR="00874C56" w:rsidRPr="006F4315" w:rsidRDefault="00874C56" w:rsidP="00277621">
            <w:pPr>
              <w:pStyle w:val="EMPTYCELLSTYLE"/>
              <w:rPr>
                <w:sz w:val="24"/>
                <w:szCs w:val="24"/>
              </w:rPr>
            </w:pPr>
          </w:p>
        </w:tc>
        <w:tc>
          <w:tcPr>
            <w:tcW w:w="1400" w:type="dxa"/>
          </w:tcPr>
          <w:p w:rsidR="00874C56" w:rsidRPr="006F4315" w:rsidRDefault="00874C56" w:rsidP="00277621">
            <w:pPr>
              <w:pStyle w:val="EMPTYCELLSTYLE"/>
              <w:rPr>
                <w:sz w:val="24"/>
                <w:szCs w:val="24"/>
              </w:rPr>
            </w:pPr>
          </w:p>
        </w:tc>
        <w:tc>
          <w:tcPr>
            <w:tcW w:w="944" w:type="dxa"/>
          </w:tcPr>
          <w:p w:rsidR="00874C56" w:rsidRPr="006F4315" w:rsidRDefault="00874C56" w:rsidP="00277621">
            <w:pPr>
              <w:pStyle w:val="EMPTYCELLSTYLE"/>
              <w:rPr>
                <w:sz w:val="24"/>
                <w:szCs w:val="24"/>
              </w:rPr>
            </w:pPr>
          </w:p>
        </w:tc>
        <w:tc>
          <w:tcPr>
            <w:tcW w:w="7976" w:type="dxa"/>
            <w:gridSpan w:val="6"/>
            <w:vMerge/>
            <w:tcMar>
              <w:top w:w="0" w:type="dxa"/>
              <w:left w:w="0" w:type="dxa"/>
              <w:bottom w:w="0" w:type="dxa"/>
              <w:right w:w="0" w:type="dxa"/>
            </w:tcMar>
            <w:vAlign w:val="center"/>
          </w:tcPr>
          <w:p w:rsidR="00874C56" w:rsidRPr="006F4315" w:rsidRDefault="00874C56" w:rsidP="00277621">
            <w:pPr>
              <w:pStyle w:val="EMPTYCELLSTYLE"/>
              <w:rPr>
                <w:sz w:val="24"/>
                <w:szCs w:val="24"/>
              </w:rPr>
            </w:pPr>
          </w:p>
        </w:tc>
        <w:tc>
          <w:tcPr>
            <w:tcW w:w="400" w:type="dxa"/>
          </w:tcPr>
          <w:p w:rsidR="00874C56" w:rsidRPr="006F4315" w:rsidRDefault="00874C56" w:rsidP="00277621">
            <w:pPr>
              <w:pStyle w:val="EMPTYCELLSTYLE"/>
              <w:rPr>
                <w:sz w:val="24"/>
                <w:szCs w:val="24"/>
              </w:rPr>
            </w:pPr>
          </w:p>
        </w:tc>
      </w:tr>
      <w:tr w:rsidR="00874C56" w:rsidRPr="006F4315" w:rsidTr="007E663C">
        <w:trPr>
          <w:trHeight w:hRule="exact" w:val="11300"/>
        </w:trPr>
        <w:tc>
          <w:tcPr>
            <w:tcW w:w="1200" w:type="dxa"/>
          </w:tcPr>
          <w:p w:rsidR="00874C56" w:rsidRPr="006F4315" w:rsidRDefault="00874C56" w:rsidP="00277621">
            <w:pPr>
              <w:pStyle w:val="EMPTYCELLSTYLE"/>
              <w:rPr>
                <w:sz w:val="24"/>
                <w:szCs w:val="24"/>
              </w:rPr>
            </w:pPr>
          </w:p>
        </w:tc>
        <w:tc>
          <w:tcPr>
            <w:tcW w:w="9940" w:type="dxa"/>
            <w:gridSpan w:val="6"/>
            <w:tcMar>
              <w:top w:w="0" w:type="dxa"/>
              <w:left w:w="0" w:type="dxa"/>
              <w:bottom w:w="0" w:type="dxa"/>
              <w:right w:w="0" w:type="dxa"/>
            </w:tcMar>
          </w:tcPr>
          <w:p w:rsidR="00874C56" w:rsidRPr="006F4315" w:rsidRDefault="0085181B" w:rsidP="00277621">
            <w:pPr>
              <w:pStyle w:val="defaultStyle"/>
              <w:rPr>
                <w:szCs w:val="24"/>
              </w:rPr>
            </w:pPr>
            <w:r w:rsidRPr="006F4315">
              <w:rPr>
                <w:szCs w:val="24"/>
              </w:rPr>
              <w:t>ÖZET: Davacının, hizmet sözleşmesi gereğince davalı Spor Kulübünde profesyonel sporcu olarak görev yaptığı, 7036 sayılı Kanunun 25/10/2017 tarihinde yürürlüğe girdiği, davanın 18/09/2018 tarihinde açıldığı dikkate alındığında, davada görevli mahkeme iş mahkemesidir. İlk itirazı değerlendirecek olan mahkeme de görevli olan iş mahkemesidir. Mahkemece bu husus resen dikkate alınıp, görevsizlik kararı verilmesi gerekirken, tahkim ilk itirazı üzerine "davanın usulden reddine" karar verilmiş olması, usul ve yasaya aykırı olup, Yargıtay Cumhuriyet Başsavcılığı'nın kanun yararına temyiz talebinin kabulü gerekmiştir.</w:t>
            </w:r>
            <w:r w:rsidRPr="006F4315">
              <w:rPr>
                <w:szCs w:val="24"/>
              </w:rPr>
              <w:br/>
            </w:r>
            <w:r w:rsidRPr="006F4315">
              <w:rPr>
                <w:szCs w:val="24"/>
              </w:rPr>
              <w:br/>
            </w:r>
            <w:r w:rsidRPr="006F4315">
              <w:rPr>
                <w:szCs w:val="24"/>
              </w:rPr>
              <w:br/>
              <w:t>(6100 S. K. m. 116, 117) (7036 S. K. m. 5) (6098 S. K. m. 38)</w:t>
            </w:r>
            <w:r w:rsidRPr="006F4315">
              <w:rPr>
                <w:szCs w:val="24"/>
              </w:rPr>
              <w:br/>
              <w:t> </w:t>
            </w:r>
            <w:r w:rsidRPr="006F4315">
              <w:rPr>
                <w:szCs w:val="24"/>
              </w:rPr>
              <w:br/>
              <w:t>Taraflar arasındaki itirazın iptali davasının yapılan yargılaması sonunda ilamda yazılı nedenlerden dolayı davanın usulden reddine yönelik olarak verilen hükmün Yargıtay Cumhuriyet Başsavcılığı tarafından kanun yararına bozulması istenilmekle, incelemenin evrak üzerinde yapılmasına karar verildikten sonra dosya incelendi gereği konuşulup düşünüldü.</w:t>
            </w:r>
            <w:r w:rsidRPr="006F4315">
              <w:rPr>
                <w:szCs w:val="24"/>
              </w:rPr>
              <w:br/>
              <w:t> </w:t>
            </w:r>
            <w:r w:rsidRPr="006F4315">
              <w:rPr>
                <w:szCs w:val="24"/>
              </w:rPr>
              <w:br/>
              <w:t>YARGITAY KARARI</w:t>
            </w:r>
            <w:r w:rsidRPr="006F4315">
              <w:rPr>
                <w:szCs w:val="24"/>
              </w:rPr>
              <w:br/>
              <w:t> </w:t>
            </w:r>
            <w:r w:rsidRPr="006F4315">
              <w:rPr>
                <w:szCs w:val="24"/>
              </w:rPr>
              <w:br/>
              <w:t>Davacı, davalı spor kulübünün sözleşmeli sporcusu olduğunu, 1.375,00 TL ücret alacağının davalı spor kulübü tarafından ödenmediğini, bu nedenle başlattığı takibe davalının itiraz ettiğini ileri sürerek; itirazın iptali ile takibin devamına karar verilmesini istemiştir.</w:t>
            </w:r>
            <w:r w:rsidRPr="006F4315">
              <w:rPr>
                <w:szCs w:val="24"/>
              </w:rPr>
              <w:br/>
              <w:t> </w:t>
            </w:r>
            <w:r w:rsidRPr="006F4315">
              <w:rPr>
                <w:szCs w:val="24"/>
              </w:rPr>
              <w:br/>
            </w:r>
            <w:proofErr w:type="spellStart"/>
            <w:r w:rsidRPr="006F4315">
              <w:rPr>
                <w:szCs w:val="24"/>
              </w:rPr>
              <w:t>Davalıspor</w:t>
            </w:r>
            <w:proofErr w:type="spellEnd"/>
            <w:r w:rsidRPr="006F4315">
              <w:rPr>
                <w:szCs w:val="24"/>
              </w:rPr>
              <w:t xml:space="preserve"> kulübü, davacı ile aralarındaki sözleşmenin 8.maddesinde uyuşmazlıkların basketbol federasyonunca inceleneceğine dair hüküm bulunduğunu savunarak, tahkim ilk itirazında bulunmuştur.</w:t>
            </w:r>
            <w:r w:rsidRPr="006F4315">
              <w:rPr>
                <w:szCs w:val="24"/>
              </w:rPr>
              <w:br/>
              <w:t> </w:t>
            </w:r>
            <w:r w:rsidRPr="006F4315">
              <w:rPr>
                <w:szCs w:val="24"/>
              </w:rPr>
              <w:br/>
              <w:t>Mahkemece, sözleşmede tahkim şartı bulunması nedeniyle davanın usulden reddine karar verilmiş; miktar itibariyle kesin olan hüküm, Yargıtay Cumhuriyet Başsavcılığı tarafından kanun yararına bozulması istemi ile temyiz edilmiştir.</w:t>
            </w:r>
            <w:r w:rsidRPr="006F4315">
              <w:rPr>
                <w:szCs w:val="24"/>
              </w:rPr>
              <w:br/>
              <w:t> </w:t>
            </w:r>
            <w:r w:rsidRPr="006F4315">
              <w:rPr>
                <w:szCs w:val="24"/>
              </w:rPr>
              <w:br/>
              <w:t xml:space="preserve">Görev, kamu düzenine ilişkin olup, mahkemece kendiliğinden dikkate alınabileceği gibi taraflarca da </w:t>
            </w:r>
            <w:proofErr w:type="spellStart"/>
            <w:r w:rsidRPr="006F4315">
              <w:rPr>
                <w:szCs w:val="24"/>
              </w:rPr>
              <w:t>davanınher</w:t>
            </w:r>
            <w:proofErr w:type="spellEnd"/>
            <w:r w:rsidRPr="006F4315">
              <w:rPr>
                <w:szCs w:val="24"/>
              </w:rPr>
              <w:t xml:space="preserve"> aşamasında ileri sürülebilir. Ayrıca 6100 sayılı Hukuk Muhakemeleri Kanununun 116'ncı maddesinin (b) bendine göre ihtiyari tahkimde uyuşmazlığın tahkimde görülmesi gerektiğine ilişkin itiraz, ilk itiraz niteliğinde olup, 117'nci maddenin ikinci fıkrası gereğince, ilk itirazların, dava şartlarından sonra inceleneceği açıkça hükme bağlanmıştır.</w:t>
            </w:r>
            <w:r w:rsidRPr="006F4315">
              <w:rPr>
                <w:szCs w:val="24"/>
              </w:rPr>
              <w:br/>
              <w:t> </w:t>
            </w:r>
            <w:r w:rsidRPr="006F4315">
              <w:rPr>
                <w:szCs w:val="24"/>
              </w:rPr>
              <w:br/>
              <w:t>7036 sayılı İş Kanununun göreve ilişkin 5/1/a maddesinde, 6098 sayılı Türk Borçlar Kanununun ikinci kısmının Altıncı Bölümünde düzenlenen, hizmet sözleşmelerine tabi işçiler ile işveren veya işveren vekilleri arasında, iş ilişkisi nedeniyle sözleşmeden veya kanundan doğan her türlü hukuk uyuşmazlıklarında görevli mahkemenin iş mahkemesi olduğu hükme bağlanmıştır. Yine aynı kanunun 38' inci maddesinde de görevi düzenleyen 5' inci maddesinin yayın tarihinden itibaren yürürlüğe gireceği belirtilmiştir.</w:t>
            </w:r>
            <w:r w:rsidRPr="006F4315">
              <w:rPr>
                <w:szCs w:val="24"/>
              </w:rPr>
              <w:br/>
            </w:r>
          </w:p>
        </w:tc>
        <w:tc>
          <w:tcPr>
            <w:tcW w:w="340" w:type="dxa"/>
          </w:tcPr>
          <w:p w:rsidR="00874C56" w:rsidRPr="006F4315" w:rsidRDefault="00874C56" w:rsidP="00277621">
            <w:pPr>
              <w:pStyle w:val="EMPTYCELLSTYLE"/>
              <w:rPr>
                <w:sz w:val="24"/>
                <w:szCs w:val="24"/>
              </w:rPr>
            </w:pPr>
          </w:p>
        </w:tc>
        <w:tc>
          <w:tcPr>
            <w:tcW w:w="40" w:type="dxa"/>
          </w:tcPr>
          <w:p w:rsidR="00874C56" w:rsidRPr="006F4315" w:rsidRDefault="00874C56" w:rsidP="00277621">
            <w:pPr>
              <w:pStyle w:val="EMPTYCELLSTYLE"/>
              <w:rPr>
                <w:sz w:val="24"/>
                <w:szCs w:val="24"/>
              </w:rPr>
            </w:pPr>
          </w:p>
        </w:tc>
        <w:tc>
          <w:tcPr>
            <w:tcW w:w="400" w:type="dxa"/>
          </w:tcPr>
          <w:p w:rsidR="00874C56" w:rsidRPr="006F4315" w:rsidRDefault="00874C56" w:rsidP="00277621">
            <w:pPr>
              <w:pStyle w:val="EMPTYCELLSTYLE"/>
              <w:rPr>
                <w:sz w:val="24"/>
                <w:szCs w:val="24"/>
              </w:rPr>
            </w:pPr>
          </w:p>
        </w:tc>
      </w:tr>
      <w:tr w:rsidR="00874C56" w:rsidRPr="006F4315" w:rsidTr="007E663C">
        <w:trPr>
          <w:trHeight w:hRule="exact" w:val="220"/>
        </w:trPr>
        <w:tc>
          <w:tcPr>
            <w:tcW w:w="1200" w:type="dxa"/>
          </w:tcPr>
          <w:p w:rsidR="00874C56" w:rsidRPr="006F4315" w:rsidRDefault="00874C56" w:rsidP="00277621">
            <w:pPr>
              <w:pStyle w:val="EMPTYCELLSTYLE"/>
              <w:rPr>
                <w:sz w:val="24"/>
                <w:szCs w:val="24"/>
              </w:rPr>
            </w:pPr>
          </w:p>
        </w:tc>
        <w:tc>
          <w:tcPr>
            <w:tcW w:w="1400" w:type="dxa"/>
          </w:tcPr>
          <w:p w:rsidR="00874C56" w:rsidRPr="006F4315" w:rsidRDefault="00874C56" w:rsidP="00277621">
            <w:pPr>
              <w:pStyle w:val="EMPTYCELLSTYLE"/>
              <w:rPr>
                <w:sz w:val="24"/>
                <w:szCs w:val="24"/>
              </w:rPr>
            </w:pPr>
          </w:p>
        </w:tc>
        <w:tc>
          <w:tcPr>
            <w:tcW w:w="944" w:type="dxa"/>
          </w:tcPr>
          <w:p w:rsidR="00874C56" w:rsidRPr="006F4315" w:rsidRDefault="00874C56" w:rsidP="00277621">
            <w:pPr>
              <w:pStyle w:val="EMPTYCELLSTYLE"/>
              <w:rPr>
                <w:sz w:val="24"/>
                <w:szCs w:val="24"/>
              </w:rPr>
            </w:pPr>
          </w:p>
        </w:tc>
        <w:tc>
          <w:tcPr>
            <w:tcW w:w="4196" w:type="dxa"/>
          </w:tcPr>
          <w:p w:rsidR="00874C56" w:rsidRPr="006F4315" w:rsidRDefault="00874C56" w:rsidP="00277621">
            <w:pPr>
              <w:pStyle w:val="EMPTYCELLSTYLE"/>
              <w:rPr>
                <w:sz w:val="24"/>
                <w:szCs w:val="24"/>
              </w:rPr>
            </w:pPr>
          </w:p>
        </w:tc>
        <w:tc>
          <w:tcPr>
            <w:tcW w:w="900" w:type="dxa"/>
          </w:tcPr>
          <w:p w:rsidR="00874C56" w:rsidRPr="006F4315" w:rsidRDefault="00874C56" w:rsidP="00277621">
            <w:pPr>
              <w:pStyle w:val="EMPTYCELLSTYLE"/>
              <w:rPr>
                <w:sz w:val="24"/>
                <w:szCs w:val="24"/>
              </w:rPr>
            </w:pPr>
          </w:p>
        </w:tc>
        <w:tc>
          <w:tcPr>
            <w:tcW w:w="2040" w:type="dxa"/>
          </w:tcPr>
          <w:p w:rsidR="00874C56" w:rsidRPr="006F4315" w:rsidRDefault="00874C56" w:rsidP="00277621">
            <w:pPr>
              <w:pStyle w:val="EMPTYCELLSTYLE"/>
              <w:rPr>
                <w:sz w:val="24"/>
                <w:szCs w:val="24"/>
              </w:rPr>
            </w:pPr>
          </w:p>
        </w:tc>
        <w:tc>
          <w:tcPr>
            <w:tcW w:w="460" w:type="dxa"/>
          </w:tcPr>
          <w:p w:rsidR="00874C56" w:rsidRPr="006F4315" w:rsidRDefault="00874C56" w:rsidP="00277621">
            <w:pPr>
              <w:pStyle w:val="EMPTYCELLSTYLE"/>
              <w:rPr>
                <w:sz w:val="24"/>
                <w:szCs w:val="24"/>
              </w:rPr>
            </w:pPr>
          </w:p>
        </w:tc>
        <w:tc>
          <w:tcPr>
            <w:tcW w:w="340" w:type="dxa"/>
          </w:tcPr>
          <w:p w:rsidR="00874C56" w:rsidRPr="006F4315" w:rsidRDefault="00874C56" w:rsidP="00277621">
            <w:pPr>
              <w:pStyle w:val="EMPTYCELLSTYLE"/>
              <w:rPr>
                <w:sz w:val="24"/>
                <w:szCs w:val="24"/>
              </w:rPr>
            </w:pPr>
          </w:p>
        </w:tc>
        <w:tc>
          <w:tcPr>
            <w:tcW w:w="40" w:type="dxa"/>
          </w:tcPr>
          <w:p w:rsidR="00874C56" w:rsidRPr="006F4315" w:rsidRDefault="00874C56" w:rsidP="00277621">
            <w:pPr>
              <w:pStyle w:val="EMPTYCELLSTYLE"/>
              <w:rPr>
                <w:sz w:val="24"/>
                <w:szCs w:val="24"/>
              </w:rPr>
            </w:pPr>
          </w:p>
        </w:tc>
        <w:tc>
          <w:tcPr>
            <w:tcW w:w="400" w:type="dxa"/>
          </w:tcPr>
          <w:p w:rsidR="00874C56" w:rsidRPr="006F4315" w:rsidRDefault="00874C56" w:rsidP="00277621">
            <w:pPr>
              <w:pStyle w:val="EMPTYCELLSTYLE"/>
              <w:rPr>
                <w:sz w:val="24"/>
                <w:szCs w:val="24"/>
              </w:rPr>
            </w:pPr>
          </w:p>
        </w:tc>
      </w:tr>
      <w:tr w:rsidR="00874C56" w:rsidRPr="006F4315" w:rsidTr="007E663C">
        <w:trPr>
          <w:trHeight w:hRule="exact" w:val="400"/>
        </w:trPr>
        <w:tc>
          <w:tcPr>
            <w:tcW w:w="1200" w:type="dxa"/>
          </w:tcPr>
          <w:p w:rsidR="00874C56" w:rsidRPr="006F4315" w:rsidRDefault="00874C56" w:rsidP="00277621">
            <w:pPr>
              <w:pStyle w:val="EMPTYCELLSTYLE"/>
              <w:rPr>
                <w:sz w:val="24"/>
                <w:szCs w:val="24"/>
              </w:rPr>
            </w:pPr>
          </w:p>
        </w:tc>
        <w:tc>
          <w:tcPr>
            <w:tcW w:w="6540" w:type="dxa"/>
            <w:gridSpan w:val="3"/>
            <w:tcMar>
              <w:top w:w="0" w:type="dxa"/>
              <w:left w:w="0" w:type="dxa"/>
              <w:bottom w:w="0" w:type="dxa"/>
              <w:right w:w="0" w:type="dxa"/>
            </w:tcMar>
            <w:vAlign w:val="center"/>
          </w:tcPr>
          <w:p w:rsidR="00874C56" w:rsidRPr="006F4315" w:rsidRDefault="0085181B" w:rsidP="00277621">
            <w:pPr>
              <w:pStyle w:val="defaultStyle"/>
              <w:rPr>
                <w:szCs w:val="24"/>
              </w:rPr>
            </w:pPr>
            <w:r w:rsidRPr="006F4315">
              <w:rPr>
                <w:rFonts w:eastAsia="Verdana"/>
                <w:b/>
                <w:i/>
                <w:szCs w:val="24"/>
              </w:rPr>
              <w:t>Sinerji Mevzuat ve İçtihat Programı</w:t>
            </w:r>
          </w:p>
        </w:tc>
        <w:tc>
          <w:tcPr>
            <w:tcW w:w="900" w:type="dxa"/>
          </w:tcPr>
          <w:p w:rsidR="00874C56" w:rsidRPr="006F4315" w:rsidRDefault="00874C56" w:rsidP="00277621">
            <w:pPr>
              <w:pStyle w:val="EMPTYCELLSTYLE"/>
              <w:rPr>
                <w:sz w:val="24"/>
                <w:szCs w:val="24"/>
              </w:rPr>
            </w:pPr>
          </w:p>
        </w:tc>
        <w:tc>
          <w:tcPr>
            <w:tcW w:w="2040" w:type="dxa"/>
            <w:tcMar>
              <w:top w:w="0" w:type="dxa"/>
              <w:left w:w="0" w:type="dxa"/>
              <w:bottom w:w="0" w:type="dxa"/>
              <w:right w:w="0" w:type="dxa"/>
            </w:tcMar>
          </w:tcPr>
          <w:p w:rsidR="00874C56" w:rsidRPr="006F4315" w:rsidRDefault="0085181B" w:rsidP="00277621">
            <w:pPr>
              <w:pStyle w:val="defaultStyle"/>
              <w:rPr>
                <w:szCs w:val="24"/>
              </w:rPr>
            </w:pPr>
            <w:r w:rsidRPr="006F4315">
              <w:rPr>
                <w:rFonts w:eastAsia="Verdana"/>
                <w:b/>
                <w:i/>
                <w:szCs w:val="24"/>
              </w:rPr>
              <w:t>Sayfa 1 /</w:t>
            </w:r>
          </w:p>
        </w:tc>
        <w:tc>
          <w:tcPr>
            <w:tcW w:w="800" w:type="dxa"/>
            <w:gridSpan w:val="2"/>
            <w:tcMar>
              <w:top w:w="0" w:type="dxa"/>
              <w:left w:w="0" w:type="dxa"/>
              <w:bottom w:w="0" w:type="dxa"/>
              <w:right w:w="0" w:type="dxa"/>
            </w:tcMar>
          </w:tcPr>
          <w:p w:rsidR="00874C56" w:rsidRPr="006F4315" w:rsidRDefault="0085181B" w:rsidP="00277621">
            <w:pPr>
              <w:pStyle w:val="defaultStyle"/>
              <w:rPr>
                <w:szCs w:val="24"/>
              </w:rPr>
            </w:pPr>
            <w:r w:rsidRPr="006F4315">
              <w:rPr>
                <w:rFonts w:eastAsia="Verdana"/>
                <w:b/>
                <w:i/>
                <w:szCs w:val="24"/>
              </w:rPr>
              <w:t>2</w:t>
            </w:r>
          </w:p>
        </w:tc>
        <w:tc>
          <w:tcPr>
            <w:tcW w:w="40" w:type="dxa"/>
          </w:tcPr>
          <w:p w:rsidR="00874C56" w:rsidRPr="006F4315" w:rsidRDefault="00874C56" w:rsidP="00277621">
            <w:pPr>
              <w:pStyle w:val="EMPTYCELLSTYLE"/>
              <w:rPr>
                <w:sz w:val="24"/>
                <w:szCs w:val="24"/>
              </w:rPr>
            </w:pPr>
          </w:p>
        </w:tc>
        <w:tc>
          <w:tcPr>
            <w:tcW w:w="400" w:type="dxa"/>
          </w:tcPr>
          <w:p w:rsidR="00874C56" w:rsidRPr="006F4315" w:rsidRDefault="00874C56" w:rsidP="00277621">
            <w:pPr>
              <w:pStyle w:val="EMPTYCELLSTYLE"/>
              <w:rPr>
                <w:sz w:val="24"/>
                <w:szCs w:val="24"/>
              </w:rPr>
            </w:pPr>
          </w:p>
        </w:tc>
      </w:tr>
      <w:tr w:rsidR="00874C56" w:rsidRPr="006F4315" w:rsidTr="007E663C">
        <w:trPr>
          <w:trHeight w:hRule="exact" w:val="400"/>
        </w:trPr>
        <w:tc>
          <w:tcPr>
            <w:tcW w:w="1200" w:type="dxa"/>
          </w:tcPr>
          <w:p w:rsidR="00874C56" w:rsidRPr="006F4315" w:rsidRDefault="00874C56" w:rsidP="00277621">
            <w:pPr>
              <w:pStyle w:val="EMPTYCELLSTYLE"/>
              <w:pageBreakBefore/>
              <w:rPr>
                <w:sz w:val="24"/>
                <w:szCs w:val="24"/>
              </w:rPr>
            </w:pPr>
          </w:p>
        </w:tc>
        <w:tc>
          <w:tcPr>
            <w:tcW w:w="6540" w:type="dxa"/>
            <w:gridSpan w:val="3"/>
          </w:tcPr>
          <w:p w:rsidR="00874C56" w:rsidRPr="006F4315" w:rsidRDefault="00874C56" w:rsidP="00277621">
            <w:pPr>
              <w:pStyle w:val="EMPTYCELLSTYLE"/>
              <w:rPr>
                <w:sz w:val="24"/>
                <w:szCs w:val="24"/>
              </w:rPr>
            </w:pPr>
          </w:p>
        </w:tc>
        <w:tc>
          <w:tcPr>
            <w:tcW w:w="900" w:type="dxa"/>
          </w:tcPr>
          <w:p w:rsidR="00874C56" w:rsidRPr="006F4315" w:rsidRDefault="00874C56" w:rsidP="00277621">
            <w:pPr>
              <w:pStyle w:val="EMPTYCELLSTYLE"/>
              <w:rPr>
                <w:sz w:val="24"/>
                <w:szCs w:val="24"/>
              </w:rPr>
            </w:pPr>
          </w:p>
        </w:tc>
        <w:tc>
          <w:tcPr>
            <w:tcW w:w="2040" w:type="dxa"/>
          </w:tcPr>
          <w:p w:rsidR="00874C56" w:rsidRPr="006F4315" w:rsidRDefault="00874C56" w:rsidP="00277621">
            <w:pPr>
              <w:pStyle w:val="EMPTYCELLSTYLE"/>
              <w:rPr>
                <w:sz w:val="24"/>
                <w:szCs w:val="24"/>
              </w:rPr>
            </w:pPr>
          </w:p>
        </w:tc>
        <w:tc>
          <w:tcPr>
            <w:tcW w:w="460" w:type="dxa"/>
          </w:tcPr>
          <w:p w:rsidR="00874C56" w:rsidRPr="006F4315" w:rsidRDefault="00874C56" w:rsidP="00277621">
            <w:pPr>
              <w:pStyle w:val="EMPTYCELLSTYLE"/>
              <w:rPr>
                <w:sz w:val="24"/>
                <w:szCs w:val="24"/>
              </w:rPr>
            </w:pPr>
          </w:p>
        </w:tc>
        <w:tc>
          <w:tcPr>
            <w:tcW w:w="340" w:type="dxa"/>
          </w:tcPr>
          <w:p w:rsidR="00874C56" w:rsidRPr="006F4315" w:rsidRDefault="00874C56" w:rsidP="00277621">
            <w:pPr>
              <w:pStyle w:val="EMPTYCELLSTYLE"/>
              <w:rPr>
                <w:sz w:val="24"/>
                <w:szCs w:val="24"/>
              </w:rPr>
            </w:pPr>
          </w:p>
        </w:tc>
        <w:tc>
          <w:tcPr>
            <w:tcW w:w="440" w:type="dxa"/>
            <w:gridSpan w:val="2"/>
          </w:tcPr>
          <w:p w:rsidR="00874C56" w:rsidRPr="006F4315" w:rsidRDefault="00874C56" w:rsidP="00277621">
            <w:pPr>
              <w:pStyle w:val="EMPTYCELLSTYLE"/>
              <w:rPr>
                <w:sz w:val="24"/>
                <w:szCs w:val="24"/>
              </w:rPr>
            </w:pPr>
          </w:p>
        </w:tc>
      </w:tr>
      <w:tr w:rsidR="00874C56" w:rsidRPr="006F4315" w:rsidTr="007E663C">
        <w:trPr>
          <w:trHeight w:hRule="exact" w:val="5500"/>
        </w:trPr>
        <w:tc>
          <w:tcPr>
            <w:tcW w:w="1200" w:type="dxa"/>
          </w:tcPr>
          <w:p w:rsidR="00874C56" w:rsidRPr="006F4315" w:rsidRDefault="00874C56" w:rsidP="00277621">
            <w:pPr>
              <w:pStyle w:val="EMPTYCELLSTYLE"/>
              <w:rPr>
                <w:sz w:val="24"/>
                <w:szCs w:val="24"/>
              </w:rPr>
            </w:pPr>
          </w:p>
        </w:tc>
        <w:tc>
          <w:tcPr>
            <w:tcW w:w="9940" w:type="dxa"/>
            <w:gridSpan w:val="6"/>
            <w:tcMar>
              <w:top w:w="0" w:type="dxa"/>
              <w:left w:w="0" w:type="dxa"/>
              <w:bottom w:w="0" w:type="dxa"/>
              <w:right w:w="0" w:type="dxa"/>
            </w:tcMar>
          </w:tcPr>
          <w:p w:rsidR="00874C56" w:rsidRPr="006F4315" w:rsidRDefault="0085181B" w:rsidP="00277621">
            <w:pPr>
              <w:pStyle w:val="defaultStyle"/>
              <w:rPr>
                <w:szCs w:val="24"/>
              </w:rPr>
            </w:pPr>
            <w:r w:rsidRPr="006F4315">
              <w:rPr>
                <w:szCs w:val="24"/>
              </w:rPr>
              <w:t> </w:t>
            </w:r>
            <w:r w:rsidRPr="006F4315">
              <w:rPr>
                <w:szCs w:val="24"/>
              </w:rPr>
              <w:br/>
              <w:t>O halde 6098 sayılı Türk Borçlar Kanunu'nun İkinci Kısmının Altıncı Bölümünde düzenlenen hizmet sözleşmelerine tabi işçiler ile işverenler arasındaki iş ilişkisinden doğan uyuşmazlıklarda, 7036 sayılı Kanununun 5'inci maddesinin (a) bendinde ve 38'inci maddeleri gereğince 25/10/2017 tarihinden sonra açılan davalarda görevli mahkeme iş mahkemeleridir. </w:t>
            </w:r>
            <w:r w:rsidRPr="006F4315">
              <w:rPr>
                <w:szCs w:val="24"/>
              </w:rPr>
              <w:br/>
              <w:t> </w:t>
            </w:r>
            <w:r w:rsidRPr="006F4315">
              <w:rPr>
                <w:szCs w:val="24"/>
              </w:rPr>
              <w:br/>
            </w:r>
            <w:r w:rsidRPr="006F4315">
              <w:rPr>
                <w:b/>
                <w:szCs w:val="24"/>
              </w:rPr>
              <w:t>Somut olaya bakıldığında; davacının, hizmet sözleşmesi gereğince davalı Spor Kulübünde profesyonel sporcu olarak görev yaptığı, 7036 sayılı Kanunun 25/10/2017 tarihinde yürürlüğe girdiği, davanın 18/09/2018 tarihinde açıldığı dikkate alındığında, davada görevli mahkeme iş mahkemesidir. İlk itirazı değerlendirecek olan mahkeme de görevli olan iş mahkemesidir. Mahkemece bu husus resen dikkate alınıp, görevsizlik kararı verilmesi gerekirken, tahkim ilk itirazı üzerine "davanın usulden reddine" karar verilmiş olması, usul ve yasaya aykırı olup, Yargıtay Cumhuriyet Başsavcılığı'nın kanun yararına temyiz talebinin kabulü gerekmiştir.</w:t>
            </w:r>
            <w:r w:rsidRPr="006F4315">
              <w:rPr>
                <w:b/>
                <w:szCs w:val="24"/>
              </w:rPr>
              <w:br/>
            </w:r>
            <w:r w:rsidRPr="006F4315">
              <w:rPr>
                <w:szCs w:val="24"/>
              </w:rPr>
              <w:t> </w:t>
            </w:r>
            <w:r w:rsidRPr="006F4315">
              <w:rPr>
                <w:szCs w:val="24"/>
              </w:rPr>
              <w:br/>
              <w:t>Sonuç: Yukarıda açıklanan nedenlerle Yargıtay Cumhuriyet Başsavcılığı'nın kanun yararına temyiz talebinin kabulü ile Kastamonu 1.Asliye Hukuk Mahkemesi’nin 27.11.2018 tarih ve 2018/302 E., 2018/380 K. sayılı kararının sonuca etkili olmamak üzere KANUN YARARINA BOZULMASINA, 01/10/2020 gününde oybirliği ile karar verildi. (¤¤)</w:t>
            </w:r>
            <w:r w:rsidRPr="006F4315">
              <w:rPr>
                <w:szCs w:val="24"/>
              </w:rPr>
              <w:br/>
              <w:t> </w:t>
            </w:r>
            <w:r w:rsidRPr="006F4315">
              <w:rPr>
                <w:szCs w:val="24"/>
              </w:rPr>
              <w:br/>
              <w:t> </w:t>
            </w:r>
          </w:p>
        </w:tc>
        <w:tc>
          <w:tcPr>
            <w:tcW w:w="340" w:type="dxa"/>
          </w:tcPr>
          <w:p w:rsidR="00874C56" w:rsidRPr="006F4315" w:rsidRDefault="00874C56" w:rsidP="00277621">
            <w:pPr>
              <w:pStyle w:val="EMPTYCELLSTYLE"/>
              <w:rPr>
                <w:sz w:val="24"/>
                <w:szCs w:val="24"/>
              </w:rPr>
            </w:pPr>
          </w:p>
        </w:tc>
        <w:tc>
          <w:tcPr>
            <w:tcW w:w="440" w:type="dxa"/>
            <w:gridSpan w:val="2"/>
          </w:tcPr>
          <w:p w:rsidR="00874C56" w:rsidRPr="006F4315" w:rsidRDefault="00874C56" w:rsidP="00277621">
            <w:pPr>
              <w:pStyle w:val="EMPTYCELLSTYLE"/>
              <w:rPr>
                <w:sz w:val="24"/>
                <w:szCs w:val="24"/>
              </w:rPr>
            </w:pPr>
          </w:p>
        </w:tc>
      </w:tr>
      <w:tr w:rsidR="00874C56" w:rsidRPr="006F4315" w:rsidTr="007E663C">
        <w:trPr>
          <w:trHeight w:hRule="exact" w:val="10140"/>
        </w:trPr>
        <w:tc>
          <w:tcPr>
            <w:tcW w:w="1200" w:type="dxa"/>
          </w:tcPr>
          <w:p w:rsidR="00874C56" w:rsidRPr="006F4315" w:rsidRDefault="00874C56" w:rsidP="00277621">
            <w:pPr>
              <w:pStyle w:val="EMPTYCELLSTYLE"/>
              <w:rPr>
                <w:sz w:val="24"/>
                <w:szCs w:val="24"/>
              </w:rPr>
            </w:pPr>
          </w:p>
        </w:tc>
        <w:tc>
          <w:tcPr>
            <w:tcW w:w="6540" w:type="dxa"/>
            <w:gridSpan w:val="3"/>
          </w:tcPr>
          <w:p w:rsidR="006F4315" w:rsidRPr="006F4315" w:rsidRDefault="006F4315" w:rsidP="00277621">
            <w:pPr>
              <w:pStyle w:val="EMPTYCELLSTYLE"/>
              <w:rPr>
                <w:sz w:val="24"/>
                <w:szCs w:val="24"/>
              </w:rPr>
            </w:pPr>
            <w:r w:rsidRPr="006F4315">
              <w:rPr>
                <w:b/>
                <w:bCs/>
                <w:sz w:val="24"/>
                <w:szCs w:val="24"/>
              </w:rPr>
              <w:t>YARGITAY 3.HUKUK DAİRESİ 01.10.2020 T. 2020/7165 E. 2020/5239 K.</w:t>
            </w:r>
          </w:p>
          <w:p w:rsidR="00A42881" w:rsidRPr="006F4315" w:rsidRDefault="0085181B" w:rsidP="00277621">
            <w:pPr>
              <w:pStyle w:val="EMPTYCELLSTYLE"/>
              <w:numPr>
                <w:ilvl w:val="0"/>
                <w:numId w:val="1"/>
              </w:numPr>
              <w:rPr>
                <w:sz w:val="24"/>
                <w:szCs w:val="24"/>
              </w:rPr>
            </w:pPr>
            <w:r w:rsidRPr="006F4315">
              <w:rPr>
                <w:sz w:val="24"/>
                <w:szCs w:val="24"/>
              </w:rPr>
              <w:t>6098 SAYILI TBK’da düzenlenen hizmet sözleşmelerine tabi işçiler ile işveren arasındaki iş ilişkisinden doğan uyuşmazlıklarda, 7036 sayılı İş Mahkemeleri Kanunu’nun 5. maddesinin a bendinde ve 38. maddeleri gereğince 25.10.2017 tarihinden sonra açılan davalarda görevli mahkeme İŞ MAHKEMESİDİR.</w:t>
            </w:r>
          </w:p>
          <w:p w:rsidR="00A42881" w:rsidRPr="006F4315" w:rsidRDefault="0085181B" w:rsidP="00277621">
            <w:pPr>
              <w:pStyle w:val="EMPTYCELLSTYLE"/>
              <w:numPr>
                <w:ilvl w:val="0"/>
                <w:numId w:val="1"/>
              </w:numPr>
              <w:rPr>
                <w:sz w:val="24"/>
                <w:szCs w:val="24"/>
              </w:rPr>
            </w:pPr>
            <w:r w:rsidRPr="006F4315">
              <w:rPr>
                <w:sz w:val="24"/>
                <w:szCs w:val="24"/>
              </w:rPr>
              <w:t>Davacının hizmet sözleşmesi gereğince davalı kulüple sporcu olarak görev yaptığı, 7036 sayılı İş Mahkemeleri Kanunun 25.10.2017 tarihinde yürürlüğe girdiği ve davanın 18.09.2018 tarihinde açıldığı dikkate alındığında görevli mahkeme iş mahkemesidir.</w:t>
            </w:r>
          </w:p>
          <w:p w:rsidR="00874C56" w:rsidRPr="006F4315" w:rsidRDefault="00874C56" w:rsidP="00277621">
            <w:pPr>
              <w:pStyle w:val="EMPTYCELLSTYLE"/>
              <w:rPr>
                <w:sz w:val="24"/>
                <w:szCs w:val="24"/>
              </w:rPr>
            </w:pPr>
          </w:p>
        </w:tc>
        <w:tc>
          <w:tcPr>
            <w:tcW w:w="900" w:type="dxa"/>
          </w:tcPr>
          <w:p w:rsidR="00874C56" w:rsidRPr="006F4315" w:rsidRDefault="00874C56" w:rsidP="00277621">
            <w:pPr>
              <w:pStyle w:val="EMPTYCELLSTYLE"/>
              <w:rPr>
                <w:sz w:val="24"/>
                <w:szCs w:val="24"/>
              </w:rPr>
            </w:pPr>
          </w:p>
        </w:tc>
        <w:tc>
          <w:tcPr>
            <w:tcW w:w="2040" w:type="dxa"/>
          </w:tcPr>
          <w:p w:rsidR="00874C56" w:rsidRPr="006F4315" w:rsidRDefault="00874C56" w:rsidP="00277621">
            <w:pPr>
              <w:pStyle w:val="EMPTYCELLSTYLE"/>
              <w:rPr>
                <w:sz w:val="24"/>
                <w:szCs w:val="24"/>
              </w:rPr>
            </w:pPr>
          </w:p>
        </w:tc>
        <w:tc>
          <w:tcPr>
            <w:tcW w:w="460" w:type="dxa"/>
          </w:tcPr>
          <w:p w:rsidR="00874C56" w:rsidRPr="006F4315" w:rsidRDefault="00874C56" w:rsidP="00277621">
            <w:pPr>
              <w:pStyle w:val="EMPTYCELLSTYLE"/>
              <w:rPr>
                <w:sz w:val="24"/>
                <w:szCs w:val="24"/>
              </w:rPr>
            </w:pPr>
          </w:p>
        </w:tc>
        <w:tc>
          <w:tcPr>
            <w:tcW w:w="340" w:type="dxa"/>
          </w:tcPr>
          <w:p w:rsidR="00874C56" w:rsidRPr="006F4315" w:rsidRDefault="00874C56" w:rsidP="00277621">
            <w:pPr>
              <w:pStyle w:val="EMPTYCELLSTYLE"/>
              <w:rPr>
                <w:sz w:val="24"/>
                <w:szCs w:val="24"/>
              </w:rPr>
            </w:pPr>
          </w:p>
        </w:tc>
        <w:tc>
          <w:tcPr>
            <w:tcW w:w="440" w:type="dxa"/>
            <w:gridSpan w:val="2"/>
          </w:tcPr>
          <w:p w:rsidR="00874C56" w:rsidRPr="006F4315" w:rsidRDefault="00874C56" w:rsidP="00277621">
            <w:pPr>
              <w:pStyle w:val="EMPTYCELLSTYLE"/>
              <w:rPr>
                <w:sz w:val="24"/>
                <w:szCs w:val="24"/>
              </w:rPr>
            </w:pPr>
          </w:p>
        </w:tc>
      </w:tr>
      <w:tr w:rsidR="00874C56" w:rsidRPr="006F4315" w:rsidTr="007E663C">
        <w:trPr>
          <w:trHeight w:hRule="exact" w:val="400"/>
        </w:trPr>
        <w:tc>
          <w:tcPr>
            <w:tcW w:w="1200" w:type="dxa"/>
          </w:tcPr>
          <w:p w:rsidR="00874C56" w:rsidRPr="006F4315" w:rsidRDefault="00874C56" w:rsidP="00277621">
            <w:pPr>
              <w:pStyle w:val="EMPTYCELLSTYLE"/>
              <w:rPr>
                <w:sz w:val="24"/>
                <w:szCs w:val="24"/>
              </w:rPr>
            </w:pPr>
          </w:p>
        </w:tc>
        <w:tc>
          <w:tcPr>
            <w:tcW w:w="6540" w:type="dxa"/>
            <w:gridSpan w:val="3"/>
            <w:tcMar>
              <w:top w:w="0" w:type="dxa"/>
              <w:left w:w="0" w:type="dxa"/>
              <w:bottom w:w="0" w:type="dxa"/>
              <w:right w:w="0" w:type="dxa"/>
            </w:tcMar>
            <w:vAlign w:val="center"/>
          </w:tcPr>
          <w:p w:rsidR="00874C56" w:rsidRPr="006F4315" w:rsidRDefault="0085181B" w:rsidP="00277621">
            <w:pPr>
              <w:pStyle w:val="defaultStyle"/>
              <w:rPr>
                <w:szCs w:val="24"/>
              </w:rPr>
            </w:pPr>
            <w:r w:rsidRPr="006F4315">
              <w:rPr>
                <w:rFonts w:eastAsia="Verdana"/>
                <w:b/>
                <w:i/>
                <w:szCs w:val="24"/>
              </w:rPr>
              <w:t>Sinerji Mevzuat ve İçtihat Programı</w:t>
            </w:r>
          </w:p>
        </w:tc>
        <w:tc>
          <w:tcPr>
            <w:tcW w:w="900" w:type="dxa"/>
          </w:tcPr>
          <w:p w:rsidR="00874C56" w:rsidRPr="006F4315" w:rsidRDefault="00874C56" w:rsidP="00277621">
            <w:pPr>
              <w:pStyle w:val="EMPTYCELLSTYLE"/>
              <w:rPr>
                <w:sz w:val="24"/>
                <w:szCs w:val="24"/>
              </w:rPr>
            </w:pPr>
          </w:p>
        </w:tc>
        <w:tc>
          <w:tcPr>
            <w:tcW w:w="2040" w:type="dxa"/>
            <w:tcMar>
              <w:top w:w="0" w:type="dxa"/>
              <w:left w:w="0" w:type="dxa"/>
              <w:bottom w:w="0" w:type="dxa"/>
              <w:right w:w="0" w:type="dxa"/>
            </w:tcMar>
          </w:tcPr>
          <w:p w:rsidR="00874C56" w:rsidRPr="006F4315" w:rsidRDefault="0085181B" w:rsidP="00277621">
            <w:pPr>
              <w:pStyle w:val="defaultStyle"/>
              <w:rPr>
                <w:szCs w:val="24"/>
              </w:rPr>
            </w:pPr>
            <w:r w:rsidRPr="006F4315">
              <w:rPr>
                <w:rFonts w:eastAsia="Verdana"/>
                <w:b/>
                <w:i/>
                <w:szCs w:val="24"/>
              </w:rPr>
              <w:t>Sayfa 2 /</w:t>
            </w:r>
          </w:p>
        </w:tc>
        <w:tc>
          <w:tcPr>
            <w:tcW w:w="800" w:type="dxa"/>
            <w:gridSpan w:val="2"/>
            <w:tcMar>
              <w:top w:w="0" w:type="dxa"/>
              <w:left w:w="0" w:type="dxa"/>
              <w:bottom w:w="0" w:type="dxa"/>
              <w:right w:w="0" w:type="dxa"/>
            </w:tcMar>
          </w:tcPr>
          <w:p w:rsidR="00874C56" w:rsidRPr="006F4315" w:rsidRDefault="0085181B" w:rsidP="00277621">
            <w:pPr>
              <w:pStyle w:val="defaultStyle"/>
              <w:rPr>
                <w:szCs w:val="24"/>
              </w:rPr>
            </w:pPr>
            <w:r w:rsidRPr="006F4315">
              <w:rPr>
                <w:rFonts w:eastAsia="Verdana"/>
                <w:b/>
                <w:i/>
                <w:szCs w:val="24"/>
              </w:rPr>
              <w:t>2</w:t>
            </w:r>
          </w:p>
        </w:tc>
        <w:tc>
          <w:tcPr>
            <w:tcW w:w="440" w:type="dxa"/>
            <w:gridSpan w:val="2"/>
          </w:tcPr>
          <w:p w:rsidR="00874C56" w:rsidRPr="006F4315" w:rsidRDefault="00874C56" w:rsidP="00277621">
            <w:pPr>
              <w:pStyle w:val="EMPTYCELLSTYLE"/>
              <w:rPr>
                <w:sz w:val="24"/>
                <w:szCs w:val="24"/>
              </w:rPr>
            </w:pPr>
          </w:p>
        </w:tc>
      </w:tr>
    </w:tbl>
    <w:p w:rsidR="0085181B" w:rsidRPr="006F4315" w:rsidRDefault="0085181B" w:rsidP="00277621">
      <w:pPr>
        <w:rPr>
          <w:sz w:val="24"/>
          <w:szCs w:val="24"/>
        </w:rPr>
      </w:pPr>
    </w:p>
    <w:sectPr w:rsidR="0085181B" w:rsidRPr="006F4315">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50E3A"/>
    <w:multiLevelType w:val="hybridMultilevel"/>
    <w:tmpl w:val="E5FC94B2"/>
    <w:lvl w:ilvl="0" w:tplc="1C066070">
      <w:start w:val="1"/>
      <w:numFmt w:val="bullet"/>
      <w:lvlText w:val=""/>
      <w:lvlJc w:val="left"/>
      <w:pPr>
        <w:tabs>
          <w:tab w:val="num" w:pos="720"/>
        </w:tabs>
        <w:ind w:left="720" w:hanging="360"/>
      </w:pPr>
      <w:rPr>
        <w:rFonts w:ascii="Wingdings" w:hAnsi="Wingdings" w:hint="default"/>
      </w:rPr>
    </w:lvl>
    <w:lvl w:ilvl="1" w:tplc="339C6E7E" w:tentative="1">
      <w:start w:val="1"/>
      <w:numFmt w:val="bullet"/>
      <w:lvlText w:val=""/>
      <w:lvlJc w:val="left"/>
      <w:pPr>
        <w:tabs>
          <w:tab w:val="num" w:pos="1440"/>
        </w:tabs>
        <w:ind w:left="1440" w:hanging="360"/>
      </w:pPr>
      <w:rPr>
        <w:rFonts w:ascii="Wingdings" w:hAnsi="Wingdings" w:hint="default"/>
      </w:rPr>
    </w:lvl>
    <w:lvl w:ilvl="2" w:tplc="54221952" w:tentative="1">
      <w:start w:val="1"/>
      <w:numFmt w:val="bullet"/>
      <w:lvlText w:val=""/>
      <w:lvlJc w:val="left"/>
      <w:pPr>
        <w:tabs>
          <w:tab w:val="num" w:pos="2160"/>
        </w:tabs>
        <w:ind w:left="2160" w:hanging="360"/>
      </w:pPr>
      <w:rPr>
        <w:rFonts w:ascii="Wingdings" w:hAnsi="Wingdings" w:hint="default"/>
      </w:rPr>
    </w:lvl>
    <w:lvl w:ilvl="3" w:tplc="9FD67D00" w:tentative="1">
      <w:start w:val="1"/>
      <w:numFmt w:val="bullet"/>
      <w:lvlText w:val=""/>
      <w:lvlJc w:val="left"/>
      <w:pPr>
        <w:tabs>
          <w:tab w:val="num" w:pos="2880"/>
        </w:tabs>
        <w:ind w:left="2880" w:hanging="360"/>
      </w:pPr>
      <w:rPr>
        <w:rFonts w:ascii="Wingdings" w:hAnsi="Wingdings" w:hint="default"/>
      </w:rPr>
    </w:lvl>
    <w:lvl w:ilvl="4" w:tplc="D2E8BD80" w:tentative="1">
      <w:start w:val="1"/>
      <w:numFmt w:val="bullet"/>
      <w:lvlText w:val=""/>
      <w:lvlJc w:val="left"/>
      <w:pPr>
        <w:tabs>
          <w:tab w:val="num" w:pos="3600"/>
        </w:tabs>
        <w:ind w:left="3600" w:hanging="360"/>
      </w:pPr>
      <w:rPr>
        <w:rFonts w:ascii="Wingdings" w:hAnsi="Wingdings" w:hint="default"/>
      </w:rPr>
    </w:lvl>
    <w:lvl w:ilvl="5" w:tplc="725838E0" w:tentative="1">
      <w:start w:val="1"/>
      <w:numFmt w:val="bullet"/>
      <w:lvlText w:val=""/>
      <w:lvlJc w:val="left"/>
      <w:pPr>
        <w:tabs>
          <w:tab w:val="num" w:pos="4320"/>
        </w:tabs>
        <w:ind w:left="4320" w:hanging="360"/>
      </w:pPr>
      <w:rPr>
        <w:rFonts w:ascii="Wingdings" w:hAnsi="Wingdings" w:hint="default"/>
      </w:rPr>
    </w:lvl>
    <w:lvl w:ilvl="6" w:tplc="5C82616E" w:tentative="1">
      <w:start w:val="1"/>
      <w:numFmt w:val="bullet"/>
      <w:lvlText w:val=""/>
      <w:lvlJc w:val="left"/>
      <w:pPr>
        <w:tabs>
          <w:tab w:val="num" w:pos="5040"/>
        </w:tabs>
        <w:ind w:left="5040" w:hanging="360"/>
      </w:pPr>
      <w:rPr>
        <w:rFonts w:ascii="Wingdings" w:hAnsi="Wingdings" w:hint="default"/>
      </w:rPr>
    </w:lvl>
    <w:lvl w:ilvl="7" w:tplc="1D826F66" w:tentative="1">
      <w:start w:val="1"/>
      <w:numFmt w:val="bullet"/>
      <w:lvlText w:val=""/>
      <w:lvlJc w:val="left"/>
      <w:pPr>
        <w:tabs>
          <w:tab w:val="num" w:pos="5760"/>
        </w:tabs>
        <w:ind w:left="5760" w:hanging="360"/>
      </w:pPr>
      <w:rPr>
        <w:rFonts w:ascii="Wingdings" w:hAnsi="Wingdings" w:hint="default"/>
      </w:rPr>
    </w:lvl>
    <w:lvl w:ilvl="8" w:tplc="289AED6E" w:tentative="1">
      <w:start w:val="1"/>
      <w:numFmt w:val="bullet"/>
      <w:lvlText w:val=""/>
      <w:lvlJc w:val="left"/>
      <w:pPr>
        <w:tabs>
          <w:tab w:val="num" w:pos="6480"/>
        </w:tabs>
        <w:ind w:left="6480" w:hanging="360"/>
      </w:pPr>
      <w:rPr>
        <w:rFonts w:ascii="Wingdings" w:hAnsi="Wingdings" w:hint="default"/>
      </w:rPr>
    </w:lvl>
  </w:abstractNum>
  <w:num w:numId="1" w16cid:durableId="46330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0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4C56"/>
    <w:rsid w:val="00277621"/>
    <w:rsid w:val="006F4315"/>
    <w:rsid w:val="007E663C"/>
    <w:rsid w:val="0085181B"/>
    <w:rsid w:val="00874C56"/>
    <w:rsid w:val="00A07896"/>
    <w:rsid w:val="00A42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274EE-D4DA-4C4E-9791-F909547D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basedOn w:val="defaultStyle"/>
    <w:qFormat/>
    <w:rPr>
      <w:sz w:val="1"/>
    </w:rPr>
  </w:style>
  <w:style w:type="paragraph" w:customStyle="1" w:styleId="defaultStyle">
    <w:name w:val="defaultStyle"/>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196964">
      <w:bodyDiv w:val="1"/>
      <w:marLeft w:val="0"/>
      <w:marRight w:val="0"/>
      <w:marTop w:val="0"/>
      <w:marBottom w:val="0"/>
      <w:divBdr>
        <w:top w:val="none" w:sz="0" w:space="0" w:color="auto"/>
        <w:left w:val="none" w:sz="0" w:space="0" w:color="auto"/>
        <w:bottom w:val="none" w:sz="0" w:space="0" w:color="auto"/>
        <w:right w:val="none" w:sz="0" w:space="0" w:color="auto"/>
      </w:divBdr>
      <w:divsChild>
        <w:div w:id="929313733">
          <w:marLeft w:val="547"/>
          <w:marRight w:val="0"/>
          <w:marTop w:val="0"/>
          <w:marBottom w:val="0"/>
          <w:divBdr>
            <w:top w:val="none" w:sz="0" w:space="0" w:color="auto"/>
            <w:left w:val="none" w:sz="0" w:space="0" w:color="auto"/>
            <w:bottom w:val="none" w:sz="0" w:space="0" w:color="auto"/>
            <w:right w:val="none" w:sz="0" w:space="0" w:color="auto"/>
          </w:divBdr>
        </w:div>
        <w:div w:id="69261158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onur katırlı</cp:lastModifiedBy>
  <cp:revision>4</cp:revision>
  <dcterms:created xsi:type="dcterms:W3CDTF">2024-11-05T09:09:00Z</dcterms:created>
  <dcterms:modified xsi:type="dcterms:W3CDTF">2024-11-11T08:37:00Z</dcterms:modified>
</cp:coreProperties>
</file>